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025410" w:rsidRPr="00025410">
        <w:rPr>
          <w:rFonts w:ascii="Arial" w:hAnsi="Arial" w:cs="Arial"/>
          <w:b/>
          <w:bCs/>
          <w:sz w:val="22"/>
          <w:szCs w:val="22"/>
        </w:rPr>
        <w:t xml:space="preserve">II/351 Třebíč – </w:t>
      </w:r>
      <w:proofErr w:type="gramStart"/>
      <w:r w:rsidR="00025410" w:rsidRPr="00025410">
        <w:rPr>
          <w:rFonts w:ascii="Arial" w:hAnsi="Arial" w:cs="Arial"/>
          <w:b/>
          <w:bCs/>
          <w:sz w:val="22"/>
          <w:szCs w:val="22"/>
        </w:rPr>
        <w:t>křiž. s II/399</w:t>
      </w:r>
      <w:proofErr w:type="gramEnd"/>
      <w:r w:rsidR="00025410" w:rsidRPr="00025410">
        <w:rPr>
          <w:rFonts w:ascii="Arial" w:hAnsi="Arial" w:cs="Arial"/>
          <w:b/>
          <w:bCs/>
          <w:sz w:val="22"/>
          <w:szCs w:val="22"/>
        </w:rPr>
        <w:t>, 2. část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DA6381" w:rsidRDefault="00DA6381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 w:cs="Arial"/>
          <w:sz w:val="22"/>
          <w:szCs w:val="22"/>
        </w:rPr>
      </w:pPr>
      <w:r w:rsidRPr="00DA6381">
        <w:rPr>
          <w:rFonts w:ascii="Arial" w:hAnsi="Arial" w:cs="Arial"/>
          <w:sz w:val="22"/>
          <w:szCs w:val="22"/>
        </w:rPr>
        <w:t xml:space="preserve">- nejméně tři stavby spočívající v rekonstrukci nebo novostavbě silnice s minimální délkou 2 km a finančním objemu minimálně 50 mil. Kč bez DPH pro každou z nich. 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Pr="007E4091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0C4470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7E409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7E4091" w:rsidRDefault="00446823" w:rsidP="00DA638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DA6381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3D7687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163F97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7E4091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7E4091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7E4091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7E4091" w:rsidRDefault="00D760FA" w:rsidP="00DA6381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DA6381"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Pr="007E409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25410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010AA"/>
    <w:rsid w:val="003107F9"/>
    <w:rsid w:val="003332AC"/>
    <w:rsid w:val="003432EB"/>
    <w:rsid w:val="00362F98"/>
    <w:rsid w:val="0037736D"/>
    <w:rsid w:val="003878B6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9093C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6E2DBB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7E4091"/>
    <w:rsid w:val="00803773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251B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A6381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4CACF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89</cp:revision>
  <cp:lastPrinted>2018-02-01T13:40:00Z</cp:lastPrinted>
  <dcterms:created xsi:type="dcterms:W3CDTF">2018-01-30T12:48:00Z</dcterms:created>
  <dcterms:modified xsi:type="dcterms:W3CDTF">2024-12-03T12:32:00Z</dcterms:modified>
</cp:coreProperties>
</file>